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F82" w:rsidRDefault="000352EE">
      <w:pPr>
        <w:spacing w:after="360"/>
        <w:jc w:val="left"/>
      </w:pPr>
      <w:r>
        <w:t xml:space="preserve">Bond </w:t>
      </w:r>
      <w:proofErr w:type="spellStart"/>
      <w:r>
        <w:t>investment</w:t>
      </w:r>
      <w:proofErr w:type="spellEnd"/>
      <w:r>
        <w:t>, a.s.</w:t>
      </w:r>
    </w:p>
    <w:p w:rsidR="00DF0F82" w:rsidRDefault="000352EE">
      <w:pPr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Oznámení o stanovení dodatečné lhůty pro upisování dluhopisů</w:t>
      </w:r>
    </w:p>
    <w:p w:rsidR="00DF0F82" w:rsidRDefault="000352EE">
      <w:pPr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 pevným úrokovým výnosem 6,50 %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p.a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>.</w:t>
      </w:r>
    </w:p>
    <w:p w:rsidR="00DF0F82" w:rsidRDefault="000352EE">
      <w:pPr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v předpokládané jmenovité hodnotě emise do </w:t>
      </w:r>
      <w:proofErr w:type="gramStart"/>
      <w:r>
        <w:rPr>
          <w:rFonts w:ascii="TimesNewRoman,Bold" w:hAnsi="TimesNewRoman,Bold" w:cs="TimesNewRoman,Bold"/>
          <w:b/>
          <w:bCs/>
          <w:color w:val="000000"/>
        </w:rPr>
        <w:t>1.999.980.000,-</w:t>
      </w:r>
      <w:proofErr w:type="gramEnd"/>
      <w:r>
        <w:rPr>
          <w:rFonts w:ascii="TimesNewRoman,Bold" w:hAnsi="TimesNewRoman,Bold" w:cs="TimesNewRoman,Bold"/>
          <w:b/>
          <w:bCs/>
          <w:color w:val="000000"/>
        </w:rPr>
        <w:t xml:space="preserve"> Kč</w:t>
      </w:r>
    </w:p>
    <w:p w:rsidR="00DF0F82" w:rsidRDefault="000352EE">
      <w:pPr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splatných v roce 2029</w:t>
      </w:r>
    </w:p>
    <w:p w:rsidR="00DF0F82" w:rsidRDefault="00DF0F82">
      <w:pPr>
        <w:rPr>
          <w:rFonts w:ascii="TimesNewRoman,Bold" w:hAnsi="TimesNewRoman,Bold" w:cs="TimesNewRoman,Bold"/>
          <w:b/>
          <w:bCs/>
          <w:color w:val="000000"/>
        </w:rPr>
      </w:pPr>
    </w:p>
    <w:p w:rsidR="00DF0F82" w:rsidRDefault="000352EE">
      <w:pPr>
        <w:spacing w:after="240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Bond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investment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color w:val="000000"/>
        </w:rPr>
        <w:t>a.s.</w:t>
      </w:r>
      <w:r>
        <w:rPr>
          <w:rFonts w:ascii="TimesNewRoman" w:hAnsi="TimesNewRoman" w:cs="TimesNewRoman"/>
          <w:color w:val="000000"/>
        </w:rPr>
        <w:t xml:space="preserve">, se sídlem </w:t>
      </w:r>
      <w:r>
        <w:t>Jindřišská 889/17</w:t>
      </w:r>
      <w:r>
        <w:rPr>
          <w:rFonts w:ascii="TimesNewRoman" w:hAnsi="TimesNewRoman" w:cs="TimesNewRoman"/>
          <w:color w:val="000000"/>
        </w:rPr>
        <w:t>, 100 00 Praha 1, IČO: 074 21 991, zapsané v obchodním rejstříku vedeném Městským soudem v Praze, spisová značka B 23779 (dále jen „</w:t>
      </w:r>
      <w:r>
        <w:rPr>
          <w:rFonts w:ascii="TimesNewRoman" w:hAnsi="TimesNewRoman" w:cs="TimesNewRoman"/>
          <w:b/>
          <w:color w:val="000000"/>
        </w:rPr>
        <w:t>Emitent</w:t>
      </w:r>
      <w:r>
        <w:rPr>
          <w:rFonts w:ascii="TimesNewRoman" w:hAnsi="TimesNewRoman" w:cs="TimesNewRoman"/>
          <w:color w:val="000000"/>
        </w:rPr>
        <w:t>“) realizoval v souladu s emisními podmínkami ze dne 1.7.2019 ve znění změny emisních po</w:t>
      </w:r>
      <w:r>
        <w:rPr>
          <w:rFonts w:ascii="TimesNewRoman" w:hAnsi="TimesNewRoman" w:cs="TimesNewRoman"/>
          <w:color w:val="000000"/>
        </w:rPr>
        <w:t xml:space="preserve">dmínek ze dne 25.5.2020 emisi dluhopisů s pevným úrokovým výnosem 6,50 % </w:t>
      </w:r>
      <w:proofErr w:type="spellStart"/>
      <w:r>
        <w:rPr>
          <w:rFonts w:ascii="TimesNewRoman" w:hAnsi="TimesNewRoman" w:cs="TimesNewRoman"/>
          <w:color w:val="000000"/>
        </w:rPr>
        <w:t>p.a</w:t>
      </w:r>
      <w:proofErr w:type="spellEnd"/>
      <w:r>
        <w:rPr>
          <w:rFonts w:ascii="TimesNewRoman" w:hAnsi="TimesNewRoman" w:cs="TimesNewRoman"/>
          <w:color w:val="000000"/>
        </w:rPr>
        <w:t>. (dále jen „</w:t>
      </w:r>
      <w:r>
        <w:rPr>
          <w:rFonts w:ascii="TimesNewRoman" w:hAnsi="TimesNewRoman" w:cs="TimesNewRoman"/>
          <w:b/>
          <w:color w:val="000000"/>
        </w:rPr>
        <w:t>Dluhopisy</w:t>
      </w:r>
      <w:r>
        <w:rPr>
          <w:rFonts w:ascii="TimesNewRoman" w:hAnsi="TimesNewRoman" w:cs="TimesNewRoman"/>
          <w:color w:val="000000"/>
        </w:rPr>
        <w:t>“) v předpokládané jmenovité hodnotě 1.999.980.000,- Kč splatných v roce 2029 s datem emise dne 8.7.2019 (dále jen „</w:t>
      </w:r>
      <w:r>
        <w:rPr>
          <w:rFonts w:ascii="TimesNewRoman" w:hAnsi="TimesNewRoman" w:cs="TimesNewRoman"/>
          <w:b/>
          <w:color w:val="000000"/>
        </w:rPr>
        <w:t>Emisní podmínky</w:t>
      </w:r>
      <w:r>
        <w:rPr>
          <w:rFonts w:ascii="TimesNewRoman" w:hAnsi="TimesNewRoman" w:cs="TimesNewRoman"/>
          <w:color w:val="000000"/>
        </w:rPr>
        <w:t xml:space="preserve">“). Emitent může podle čl. </w:t>
      </w:r>
      <w:r>
        <w:rPr>
          <w:rFonts w:ascii="TimesNewRoman" w:hAnsi="TimesNewRoman" w:cs="TimesNewRoman"/>
          <w:color w:val="000000"/>
        </w:rPr>
        <w:t>9.3.1 Emisních podmínek vydávat Dluhopisy v průběhu lhůty pro upisování Emise Dluhopisů, a případně i po uplynutí lhůty pro upisování Emise Dluhopisů, v průběhu dodatečné lhůty pro upisování Dluhopisů, kterou Emitent stanoví a uveřejní v souladu s platnými</w:t>
      </w:r>
      <w:r>
        <w:rPr>
          <w:rFonts w:ascii="TimesNewRoman" w:hAnsi="TimesNewRoman" w:cs="TimesNewRoman"/>
          <w:color w:val="000000"/>
        </w:rPr>
        <w:t xml:space="preserve"> právními předpisy.</w:t>
      </w:r>
    </w:p>
    <w:p w:rsidR="00DF0F82" w:rsidRDefault="000352EE">
      <w:pPr>
        <w:spacing w:after="24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Emitent tímto v souladu s čl. 9.3.1 Emisních podmínek ve spojení s § 7 odst. 1 písm. c) zákona č. 190/2004 Sb., o dluhopisech, ve znění pozdějších předpisů, stanovuje dodatečnou lhůtu pro upisování dluhopisů, která počíná dne 1.7.2020 (</w:t>
      </w:r>
      <w:r>
        <w:rPr>
          <w:rFonts w:ascii="TimesNewRoman" w:hAnsi="TimesNewRoman" w:cs="TimesNewRoman"/>
          <w:color w:val="000000"/>
        </w:rPr>
        <w:t>včetně) a končí dne 30.6.2021 (včetně).</w:t>
      </w:r>
    </w:p>
    <w:p w:rsidR="00DF0F82" w:rsidRDefault="000352EE">
      <w:pPr>
        <w:spacing w:after="24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Pojmy, které nebyly definovány v tomto oznámení, mají význam definovaný v Emisních podmínkách a základním prospektu Dluhopisů, není-li v tomto Oznámení stanoveno výslovně jinak. </w:t>
      </w:r>
    </w:p>
    <w:p w:rsidR="00DF0F82" w:rsidRDefault="000352EE">
      <w:pPr>
        <w:rPr>
          <w:rFonts w:ascii="TimesNewRoman,Italic" w:hAnsi="TimesNewRoman,Italic" w:cs="TimesNewRoman,Italic"/>
          <w:iCs/>
          <w:color w:val="000000"/>
        </w:rPr>
      </w:pPr>
      <w:r>
        <w:rPr>
          <w:rFonts w:ascii="TimesNewRoman" w:hAnsi="TimesNewRoman" w:cs="TimesNewRoman"/>
          <w:color w:val="000000"/>
        </w:rPr>
        <w:t>Emisní podmínky, základní prospekt Dl</w:t>
      </w:r>
      <w:r>
        <w:rPr>
          <w:rFonts w:ascii="TimesNewRoman" w:hAnsi="TimesNewRoman" w:cs="TimesNewRoman"/>
          <w:color w:val="000000"/>
        </w:rPr>
        <w:t xml:space="preserve">uhopisů a toto oznámení jsou v elektronické podobě uveřejněny na webových stránkách Emitenta </w:t>
      </w:r>
      <w:r>
        <w:t>www.investbond.cz</w:t>
      </w:r>
      <w:r>
        <w:rPr>
          <w:rFonts w:ascii="TimesNewRoman" w:hAnsi="TimesNewRoman" w:cs="TimesNewRoman"/>
          <w:color w:val="000000"/>
        </w:rPr>
        <w:t xml:space="preserve"> v sekci „</w:t>
      </w:r>
      <w:r>
        <w:rPr>
          <w:rFonts w:ascii="TimesNewRoman,Italic" w:hAnsi="TimesNewRoman,Italic" w:cs="TimesNewRoman,Italic"/>
          <w:i/>
          <w:iCs/>
          <w:color w:val="000000"/>
        </w:rPr>
        <w:t>PRO INVESTORY“.</w:t>
      </w:r>
    </w:p>
    <w:p w:rsidR="00DF0F82" w:rsidRDefault="000352EE">
      <w:pPr>
        <w:spacing w:before="360"/>
        <w:rPr>
          <w:rFonts w:ascii="TimesNewRoman,Italic" w:hAnsi="TimesNewRoman,Italic" w:cs="TimesNewRoman,Italic"/>
          <w:i/>
          <w:iCs/>
          <w:color w:val="000000"/>
        </w:rPr>
      </w:pPr>
      <w:r>
        <w:rPr>
          <w:rFonts w:ascii="TimesNewRoman,Italic" w:hAnsi="TimesNewRoman,Italic" w:cs="TimesNewRoman,Italic"/>
          <w:iCs/>
          <w:color w:val="000000"/>
        </w:rPr>
        <w:t xml:space="preserve">V Praze dne __________ 2020  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 </w:t>
      </w:r>
    </w:p>
    <w:p w:rsidR="00DF0F82" w:rsidRDefault="000352EE">
      <w:pPr>
        <w:spacing w:before="600" w:after="0"/>
      </w:pPr>
      <w:r>
        <w:t>______________________</w:t>
      </w:r>
    </w:p>
    <w:p w:rsidR="00DF0F82" w:rsidRDefault="000352EE">
      <w:pPr>
        <w:spacing w:after="0"/>
        <w:rPr>
          <w:b/>
        </w:rPr>
      </w:pPr>
      <w:r>
        <w:rPr>
          <w:b/>
        </w:rPr>
        <w:t xml:space="preserve">Bond </w:t>
      </w:r>
      <w:proofErr w:type="spellStart"/>
      <w:r>
        <w:rPr>
          <w:b/>
        </w:rPr>
        <w:t>investment</w:t>
      </w:r>
      <w:proofErr w:type="spellEnd"/>
      <w:r>
        <w:rPr>
          <w:b/>
        </w:rPr>
        <w:t>, a.s.</w:t>
      </w:r>
    </w:p>
    <w:p w:rsidR="00DF0F82" w:rsidRDefault="000352EE">
      <w:pPr>
        <w:spacing w:after="0"/>
      </w:pPr>
      <w:r>
        <w:t>Ing. Jiří Lejnar</w:t>
      </w:r>
    </w:p>
    <w:p w:rsidR="00DF0F82" w:rsidRDefault="000352EE">
      <w:pPr>
        <w:spacing w:after="0"/>
      </w:pPr>
      <w:r>
        <w:t xml:space="preserve">člen </w:t>
      </w:r>
      <w:r>
        <w:t>představenstva</w:t>
      </w:r>
    </w:p>
    <w:sectPr w:rsidR="00DF0F82">
      <w:footerReference w:type="default" r:id="rId8"/>
      <w:pgSz w:w="11900" w:h="16838"/>
      <w:pgMar w:top="1413" w:right="1440" w:bottom="151" w:left="1416" w:header="0" w:footer="359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2EE" w:rsidRDefault="000352EE">
      <w:pPr>
        <w:spacing w:line="240" w:lineRule="auto"/>
      </w:pPr>
      <w:r>
        <w:separator/>
      </w:r>
    </w:p>
  </w:endnote>
  <w:endnote w:type="continuationSeparator" w:id="0">
    <w:p w:rsidR="000352EE" w:rsidRDefault="000352EE">
      <w:pPr>
        <w:spacing w:line="240" w:lineRule="auto"/>
      </w:pPr>
      <w:r>
        <w:continuationSeparator/>
      </w:r>
    </w:p>
  </w:endnote>
  <w:endnote w:type="continuationNotice" w:id="1">
    <w:p w:rsidR="000352EE" w:rsidRDefault="000352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7006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0F82" w:rsidRDefault="00DF0F82">
        <w:pPr>
          <w:pStyle w:val="Zpat"/>
          <w:jc w:val="center"/>
        </w:pPr>
      </w:p>
      <w:p w:rsidR="00DF0F82" w:rsidRDefault="000352EE">
        <w:pPr>
          <w:pStyle w:val="Zpat"/>
          <w:tabs>
            <w:tab w:val="clear" w:pos="4536"/>
            <w:tab w:val="center" w:pos="4522"/>
            <w:tab w:val="left" w:pos="4935"/>
          </w:tabs>
          <w:jc w:val="left"/>
          <w:rPr>
            <w:sz w:val="18"/>
            <w:szCs w:val="18"/>
          </w:rPr>
        </w:pPr>
        <w:r>
          <w:rPr>
            <w:sz w:val="18"/>
            <w:szCs w:val="18"/>
          </w:rPr>
          <w:tab/>
        </w:r>
      </w:p>
    </w:sdtContent>
  </w:sdt>
  <w:p w:rsidR="00DF0F82" w:rsidRDefault="00DF0F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2EE" w:rsidRDefault="000352EE">
      <w:pPr>
        <w:spacing w:line="240" w:lineRule="auto"/>
      </w:pPr>
      <w:r>
        <w:separator/>
      </w:r>
    </w:p>
  </w:footnote>
  <w:footnote w:type="continuationSeparator" w:id="0">
    <w:p w:rsidR="000352EE" w:rsidRDefault="000352EE">
      <w:pPr>
        <w:spacing w:line="240" w:lineRule="auto"/>
      </w:pPr>
      <w:r>
        <w:continuationSeparator/>
      </w:r>
    </w:p>
  </w:footnote>
  <w:footnote w:type="continuationNotice" w:id="1">
    <w:p w:rsidR="000352EE" w:rsidRDefault="000352E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7CAD"/>
    <w:multiLevelType w:val="hybridMultilevel"/>
    <w:tmpl w:val="E7FE95C8"/>
    <w:lvl w:ilvl="0" w:tplc="A3C0A94A">
      <w:start w:val="1"/>
      <w:numFmt w:val="decimal"/>
      <w:lvlText w:val="9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2B97"/>
    <w:multiLevelType w:val="multilevel"/>
    <w:tmpl w:val="CD688D16"/>
    <w:lvl w:ilvl="0">
      <w:start w:val="2"/>
      <w:numFmt w:val="decimal"/>
      <w:lvlText w:val="9.%1"/>
      <w:lvlJc w:val="left"/>
      <w:pPr>
        <w:ind w:left="737" w:hanging="737"/>
      </w:pPr>
      <w:rPr>
        <w:rFonts w:hint="default"/>
        <w:b/>
      </w:rPr>
    </w:lvl>
    <w:lvl w:ilvl="1">
      <w:start w:val="1"/>
      <w:numFmt w:val="decimal"/>
      <w:lvlText w:val="9.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9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BC57B9"/>
    <w:multiLevelType w:val="hybridMultilevel"/>
    <w:tmpl w:val="3048C4EE"/>
    <w:lvl w:ilvl="0" w:tplc="7CBE0334">
      <w:start w:val="14"/>
      <w:numFmt w:val="decimal"/>
      <w:lvlText w:val="9.2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06FF"/>
    <w:multiLevelType w:val="hybridMultilevel"/>
    <w:tmpl w:val="17F46EE0"/>
    <w:lvl w:ilvl="0" w:tplc="0FD60662">
      <w:start w:val="6"/>
      <w:numFmt w:val="decimal"/>
      <w:lvlText w:val="9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5B80"/>
    <w:multiLevelType w:val="hybridMultilevel"/>
    <w:tmpl w:val="18EC60D8"/>
    <w:lvl w:ilvl="0" w:tplc="22407B3C">
      <w:start w:val="11"/>
      <w:numFmt w:val="decimal"/>
      <w:lvlText w:val="9.2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DC8"/>
    <w:multiLevelType w:val="hybridMultilevel"/>
    <w:tmpl w:val="3C3C374A"/>
    <w:lvl w:ilvl="0" w:tplc="5DEA41BC">
      <w:numFmt w:val="bullet"/>
      <w:lvlText w:val="-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2B38"/>
    <w:multiLevelType w:val="hybridMultilevel"/>
    <w:tmpl w:val="5B26171E"/>
    <w:lvl w:ilvl="0" w:tplc="E9B8F1A2">
      <w:start w:val="4"/>
      <w:numFmt w:val="decimal"/>
      <w:lvlText w:val="9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7C02"/>
    <w:multiLevelType w:val="hybridMultilevel"/>
    <w:tmpl w:val="326E310E"/>
    <w:lvl w:ilvl="0" w:tplc="37566492">
      <w:start w:val="7"/>
      <w:numFmt w:val="decimal"/>
      <w:lvlText w:val="9.2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77A94"/>
    <w:multiLevelType w:val="hybridMultilevel"/>
    <w:tmpl w:val="053052D2"/>
    <w:lvl w:ilvl="0" w:tplc="947E3BCA">
      <w:start w:val="1"/>
      <w:numFmt w:val="decimal"/>
      <w:lvlText w:val="9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3721"/>
    <w:multiLevelType w:val="hybridMultilevel"/>
    <w:tmpl w:val="56044B08"/>
    <w:lvl w:ilvl="0" w:tplc="C3344C84">
      <w:start w:val="1"/>
      <w:numFmt w:val="upperRoman"/>
      <w:pStyle w:val="STAYHOM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0AC7"/>
    <w:multiLevelType w:val="multilevel"/>
    <w:tmpl w:val="42A89C3E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82"/>
    <w:rsid w:val="000352EE"/>
    <w:rsid w:val="001720A5"/>
    <w:rsid w:val="00D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E8EAF-FCF0-4838-BD6B-7CAF6711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pPr>
      <w:keepNext/>
      <w:keepLines/>
      <w:spacing w:before="240" w:after="200"/>
      <w:outlineLvl w:val="0"/>
    </w:pPr>
    <w:rPr>
      <w:rFonts w:eastAsiaTheme="majorEastAsia" w:cs="Times New Roman (Nadpisy CS)"/>
      <w:b/>
      <w:caps/>
      <w:color w:val="000000" w:themeColor="text1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40"/>
      <w:ind w:firstLine="737"/>
      <w:jc w:val="left"/>
      <w:outlineLvl w:val="1"/>
    </w:pPr>
    <w:rPr>
      <w:rFonts w:eastAsiaTheme="majorEastAsia" w:cs="Times New Roman (Nadpisy CS)"/>
      <w:b/>
      <w:smallCap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jc w:val="both"/>
    </w:pPr>
    <w:rPr>
      <w:rFonts w:eastAsiaTheme="minorHAnsi" w:cstheme="minorBidi"/>
      <w:color w:val="000000" w:themeColor="text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">
    <w:name w:val="Základní text (3)_"/>
    <w:basedOn w:val="Standardnpsmoodstavce"/>
    <w:link w:val="Zkladntext30"/>
    <w:rPr>
      <w:rFonts w:eastAsia="Times New Roman"/>
      <w:i/>
      <w:iCs/>
      <w:sz w:val="20"/>
      <w:szCs w:val="20"/>
      <w:shd w:val="clear" w:color="auto" w:fill="FFFFFF"/>
    </w:rPr>
  </w:style>
  <w:style w:type="character" w:customStyle="1" w:styleId="Zkladntext3Nekurzva">
    <w:name w:val="Základní text (3) + Ne kurzíva"/>
    <w:basedOn w:val="Zkladntext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/>
    </w:rPr>
  </w:style>
  <w:style w:type="paragraph" w:customStyle="1" w:styleId="Zkladntext30">
    <w:name w:val="Základní text (3)"/>
    <w:basedOn w:val="Normln"/>
    <w:link w:val="Zkladntext3"/>
    <w:pPr>
      <w:widowControl w:val="0"/>
      <w:shd w:val="clear" w:color="auto" w:fill="FFFFFF"/>
      <w:spacing w:before="300" w:line="259" w:lineRule="exact"/>
      <w:jc w:val="center"/>
    </w:pPr>
    <w:rPr>
      <w:rFonts w:eastAsia="Times New Roman"/>
      <w:i/>
      <w:i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customStyle="1" w:styleId="KSBHeadings">
    <w:name w:val="KSB Headings"/>
    <w:basedOn w:val="Normln"/>
    <w:next w:val="Normln"/>
    <w:uiPriority w:val="3"/>
    <w:pPr>
      <w:spacing w:before="240" w:line="260" w:lineRule="atLeast"/>
    </w:pPr>
    <w:rPr>
      <w:rFonts w:eastAsia="SimSun"/>
      <w:kern w:val="28"/>
      <w:lang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="Times New Roman (Nadpisy CS)"/>
      <w:b/>
      <w:smallCap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eastAsiaTheme="majorEastAsia" w:cs="Times New Roman (Nadpisy CS)"/>
      <w:b/>
      <w:caps/>
      <w:color w:val="000000" w:themeColor="text1"/>
      <w:szCs w:val="32"/>
    </w:rPr>
  </w:style>
  <w:style w:type="paragraph" w:styleId="Revize">
    <w:name w:val="Revision"/>
    <w:hidden/>
    <w:uiPriority w:val="99"/>
    <w:semiHidden/>
  </w:style>
  <w:style w:type="paragraph" w:customStyle="1" w:styleId="STAYHOME">
    <w:name w:val="STAY HOME"/>
    <w:basedOn w:val="Odstavecseseznamem"/>
    <w:qFormat/>
    <w:pPr>
      <w:numPr>
        <w:numId w:val="1"/>
      </w:numPr>
      <w:ind w:left="709" w:hanging="709"/>
    </w:pPr>
    <w:rPr>
      <w:rFonts w:eastAsia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pacing w:after="0" w:line="240" w:lineRule="auto"/>
    </w:pPr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sz w:val="24"/>
      <w:szCs w:val="24"/>
    </w:rPr>
  </w:style>
  <w:style w:type="character" w:customStyle="1" w:styleId="nowrap">
    <w:name w:val="nowrap"/>
    <w:basedOn w:val="Standardnpsmoodstavce"/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result">
    <w:name w:val="result"/>
    <w:basedOn w:val="Normln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40"/>
        <w:tab w:val="right" w:leader="dot" w:pos="9070"/>
      </w:tabs>
      <w:ind w:left="1134" w:hanging="1134"/>
    </w:p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7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5B9C-3365-4C94-B9C1-10014CC7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Česká národní banka</Company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Malečková-Pařízková Martina</cp:lastModifiedBy>
  <cp:revision>2</cp:revision>
  <cp:lastPrinted>2020-03-02T12:47:00Z</cp:lastPrinted>
  <dcterms:created xsi:type="dcterms:W3CDTF">2020-06-24T11:27:00Z</dcterms:created>
  <dcterms:modified xsi:type="dcterms:W3CDTF">2020-06-24T11:27:00Z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